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D30" w:rsidRDefault="00466C36" w:rsidP="007C6B24">
      <w:pPr>
        <w:pStyle w:val="IQB-Aufgabentitel"/>
        <w:spacing w:after="120"/>
        <w:rPr>
          <w:rFonts w:cs="Arial"/>
        </w:rPr>
      </w:pPr>
      <w:r w:rsidRPr="007C6B24">
        <w:rPr>
          <w:rFonts w:cs="Arial"/>
        </w:rPr>
        <w:t xml:space="preserve">Didaktische </w:t>
      </w:r>
      <w:r w:rsidR="00EC46E1">
        <w:rPr>
          <w:rFonts w:cs="Arial"/>
        </w:rPr>
        <w:t>Kommentierung</w:t>
      </w:r>
      <w:r w:rsidRPr="007C6B24">
        <w:rPr>
          <w:rFonts w:cs="Arial"/>
        </w:rPr>
        <w:t xml:space="preserve">: </w:t>
      </w:r>
      <w:r w:rsidR="007C6B24" w:rsidRPr="007C6B24">
        <w:rPr>
          <w:rFonts w:cs="Arial"/>
        </w:rPr>
        <w:t>Aufgabe</w:t>
      </w:r>
      <w:r w:rsidRPr="007C6B24">
        <w:rPr>
          <w:rFonts w:cs="Arial"/>
        </w:rPr>
        <w:t xml:space="preserve"> </w:t>
      </w:r>
      <w:r w:rsidR="007C6B24" w:rsidRPr="007C6B24">
        <w:rPr>
          <w:rFonts w:cs="Arial"/>
        </w:rPr>
        <w:t>Spielwürfel</w:t>
      </w:r>
    </w:p>
    <w:p w:rsidR="007C6B24" w:rsidRPr="007C6B24" w:rsidRDefault="007C6B24" w:rsidP="007C6B24">
      <w:pPr>
        <w:pStyle w:val="IQB-Aufgabentitel"/>
        <w:spacing w:after="120"/>
        <w:rPr>
          <w:rFonts w:cs="Arial"/>
          <w:sz w:val="22"/>
          <w:szCs w:val="22"/>
        </w:rPr>
      </w:pPr>
    </w:p>
    <w:p w:rsidR="00466C36" w:rsidRPr="007C6B24" w:rsidRDefault="00466C36" w:rsidP="007C6B24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7C6B24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A35D30" w:rsidRPr="007C6B24">
        <w:tc>
          <w:tcPr>
            <w:tcW w:w="2040" w:type="dxa"/>
            <w:vAlign w:val="center"/>
          </w:tcPr>
          <w:p w:rsidR="00A35D30" w:rsidRPr="007C6B24" w:rsidRDefault="007C6B24" w:rsidP="007C6B24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7C6B24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A35D30" w:rsidRPr="007C6B24" w:rsidRDefault="007C6B24" w:rsidP="007C6B24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7C6B24">
              <w:rPr>
                <w:rFonts w:cs="Arial"/>
                <w:sz w:val="20"/>
                <w:szCs w:val="20"/>
              </w:rPr>
              <w:t>Daten, Häufigkeit und Wahrscheinlichkeit</w:t>
            </w:r>
          </w:p>
        </w:tc>
      </w:tr>
      <w:tr w:rsidR="00A35D30" w:rsidRPr="007C6B24">
        <w:tc>
          <w:tcPr>
            <w:tcW w:w="2040" w:type="dxa"/>
            <w:vAlign w:val="center"/>
          </w:tcPr>
          <w:p w:rsidR="00A35D30" w:rsidRPr="007C6B24" w:rsidRDefault="007C6B24" w:rsidP="007C6B24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7C6B24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A35D30" w:rsidRPr="007C6B24" w:rsidRDefault="007C6B24" w:rsidP="007C6B24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7C6B24">
              <w:rPr>
                <w:rFonts w:cs="Arial"/>
                <w:sz w:val="20"/>
                <w:szCs w:val="20"/>
              </w:rPr>
              <w:t>mathematische Aussagen hinterfragen und auf Korrektheit prüfen</w:t>
            </w:r>
          </w:p>
        </w:tc>
      </w:tr>
      <w:tr w:rsidR="00A35D30" w:rsidRPr="007C6B24">
        <w:tc>
          <w:tcPr>
            <w:tcW w:w="2040" w:type="dxa"/>
            <w:vAlign w:val="center"/>
          </w:tcPr>
          <w:p w:rsidR="00A35D30" w:rsidRPr="007C6B24" w:rsidRDefault="007C6B24" w:rsidP="007C6B24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7C6B24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A35D30" w:rsidRPr="007C6B24" w:rsidRDefault="007C6B24" w:rsidP="007C6B24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7C6B24">
              <w:rPr>
                <w:rFonts w:cs="Arial"/>
                <w:sz w:val="20"/>
                <w:szCs w:val="20"/>
              </w:rPr>
              <w:t>die vier Grundrechenarten und ihre Zusammenhänge verstehen; Grundbegriffe kennen (z. B. sicher, unmöglich, wahrscheinlich)</w:t>
            </w:r>
          </w:p>
        </w:tc>
      </w:tr>
      <w:tr w:rsidR="00A35D30" w:rsidRPr="007C6B24">
        <w:tc>
          <w:tcPr>
            <w:tcW w:w="2040" w:type="dxa"/>
            <w:vAlign w:val="center"/>
          </w:tcPr>
          <w:p w:rsidR="00A35D30" w:rsidRPr="007C6B24" w:rsidRDefault="007C6B24" w:rsidP="007C6B24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7C6B24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A35D30" w:rsidRPr="007C6B24" w:rsidRDefault="007C6B24" w:rsidP="007C6B24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7C6B24">
              <w:rPr>
                <w:rFonts w:cs="Arial"/>
                <w:sz w:val="20"/>
                <w:szCs w:val="20"/>
              </w:rPr>
              <w:t>V</w:t>
            </w:r>
          </w:p>
        </w:tc>
      </w:tr>
      <w:tr w:rsidR="00A35D30" w:rsidRPr="007C6B24">
        <w:tc>
          <w:tcPr>
            <w:tcW w:w="2040" w:type="dxa"/>
            <w:vAlign w:val="center"/>
          </w:tcPr>
          <w:p w:rsidR="00A35D30" w:rsidRPr="007C6B24" w:rsidRDefault="007C6B24" w:rsidP="007C6B24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7C6B24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A35D30" w:rsidRPr="007C6B24" w:rsidRDefault="007C6B24" w:rsidP="007C6B24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7C6B24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7C6B24" w:rsidRDefault="007C6B24" w:rsidP="007C6B24">
      <w:pPr>
        <w:pStyle w:val="IQB-Teilaufgabensubtitel"/>
        <w:spacing w:before="0" w:after="120"/>
        <w:rPr>
          <w:rFonts w:cs="Arial"/>
          <w:b/>
          <w:szCs w:val="22"/>
        </w:rPr>
      </w:pPr>
    </w:p>
    <w:p w:rsidR="007C6B24" w:rsidRPr="007C6B24" w:rsidRDefault="007C6B24" w:rsidP="007C6B24">
      <w:pPr>
        <w:pStyle w:val="IQB-Teilaufgabensubtitel"/>
        <w:spacing w:before="0" w:after="120"/>
        <w:rPr>
          <w:rFonts w:cs="Arial"/>
          <w:b/>
          <w:szCs w:val="22"/>
        </w:rPr>
      </w:pPr>
      <w:r w:rsidRPr="007C6B24">
        <w:rPr>
          <w:rFonts w:cs="Arial"/>
          <w:b/>
          <w:szCs w:val="22"/>
        </w:rPr>
        <w:t>Aufgabenbezogener Kommentar</w:t>
      </w:r>
    </w:p>
    <w:p w:rsidR="007C6B24" w:rsidRDefault="007C6B24" w:rsidP="007C6B24">
      <w:pPr>
        <w:spacing w:after="120"/>
        <w:rPr>
          <w:rFonts w:ascii="Arial" w:hAnsi="Arial" w:cs="Arial"/>
          <w:sz w:val="22"/>
          <w:szCs w:val="22"/>
        </w:rPr>
      </w:pPr>
      <w:r w:rsidRPr="007C6B24">
        <w:rPr>
          <w:rFonts w:ascii="Arial" w:hAnsi="Arial" w:cs="Arial"/>
          <w:sz w:val="22"/>
          <w:szCs w:val="22"/>
        </w:rPr>
        <w:t>Die Kinder müssen die vorgegebenen Auswahlmöglichkeiten überprüfen und feststellen, ob die vergebenen Zahlen als Produkt möglich oder unmöglich sind.</w:t>
      </w:r>
    </w:p>
    <w:p w:rsidR="007C6B24" w:rsidRPr="007C6B24" w:rsidRDefault="007C6B24" w:rsidP="007C6B24">
      <w:pPr>
        <w:spacing w:after="120"/>
        <w:rPr>
          <w:rFonts w:ascii="Arial" w:hAnsi="Arial" w:cs="Arial"/>
          <w:sz w:val="22"/>
          <w:szCs w:val="22"/>
        </w:rPr>
      </w:pPr>
    </w:p>
    <w:p w:rsidR="007C6B24" w:rsidRPr="007C6B24" w:rsidRDefault="007C6B24" w:rsidP="007C6B24">
      <w:pPr>
        <w:spacing w:after="120"/>
        <w:rPr>
          <w:rFonts w:ascii="Arial" w:hAnsi="Arial" w:cs="Arial"/>
          <w:b/>
          <w:sz w:val="22"/>
          <w:szCs w:val="22"/>
        </w:rPr>
      </w:pPr>
      <w:r w:rsidRPr="007C6B24">
        <w:rPr>
          <w:rFonts w:ascii="Arial" w:hAnsi="Arial" w:cs="Arial"/>
          <w:b/>
          <w:sz w:val="22"/>
          <w:szCs w:val="22"/>
        </w:rPr>
        <w:t>Anregungen zur Unterrichtsgestaltung</w:t>
      </w:r>
    </w:p>
    <w:p w:rsidR="007C6B24" w:rsidRPr="007C6B24" w:rsidRDefault="007C6B24" w:rsidP="007C6B24">
      <w:pPr>
        <w:spacing w:after="120"/>
        <w:rPr>
          <w:rFonts w:ascii="Arial" w:hAnsi="Arial" w:cs="Arial"/>
          <w:sz w:val="22"/>
          <w:szCs w:val="22"/>
        </w:rPr>
      </w:pPr>
      <w:r w:rsidRPr="007C6B24">
        <w:rPr>
          <w:rFonts w:ascii="Arial" w:hAnsi="Arial" w:cs="Arial"/>
          <w:sz w:val="22"/>
          <w:szCs w:val="22"/>
        </w:rPr>
        <w:t xml:space="preserve">Ausgehend von der praktischen Erfahrung mit einem oder zwei Würfeln sind die Kinder in der Lage, Handlungen gedanklich zu vollziehen. </w:t>
      </w:r>
    </w:p>
    <w:p w:rsidR="007C6B24" w:rsidRPr="007C6B24" w:rsidRDefault="007C6B24" w:rsidP="007C6B24">
      <w:pPr>
        <w:spacing w:after="120"/>
        <w:rPr>
          <w:rFonts w:ascii="Arial" w:hAnsi="Arial" w:cs="Arial"/>
          <w:sz w:val="22"/>
          <w:szCs w:val="22"/>
        </w:rPr>
      </w:pPr>
      <w:r w:rsidRPr="007C6B24">
        <w:rPr>
          <w:rFonts w:ascii="Arial" w:hAnsi="Arial" w:cs="Arial"/>
          <w:sz w:val="22"/>
          <w:szCs w:val="22"/>
        </w:rPr>
        <w:t xml:space="preserve">Weitere Fragestellungen zur Multiplikation mit zwei Würfeln könnten sein: </w:t>
      </w:r>
    </w:p>
    <w:p w:rsidR="007C6B24" w:rsidRDefault="007C6B24" w:rsidP="007C6B24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7C6B24">
        <w:rPr>
          <w:rFonts w:ascii="Arial" w:hAnsi="Arial" w:cs="Arial"/>
          <w:sz w:val="22"/>
          <w:szCs w:val="22"/>
        </w:rPr>
        <w:t xml:space="preserve">Welche Produkte sind möglich? </w:t>
      </w:r>
    </w:p>
    <w:p w:rsidR="007C6B24" w:rsidRDefault="007C6B24" w:rsidP="007C6B24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7C6B24">
        <w:rPr>
          <w:rFonts w:ascii="Arial" w:hAnsi="Arial" w:cs="Arial"/>
          <w:sz w:val="22"/>
          <w:szCs w:val="22"/>
        </w:rPr>
        <w:t xml:space="preserve">Welche Produkte haben eine höhere Wahrscheinlichkeit? </w:t>
      </w:r>
    </w:p>
    <w:p w:rsidR="007C6B24" w:rsidRPr="007C6B24" w:rsidRDefault="007C6B24" w:rsidP="007C6B24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7C6B24">
        <w:rPr>
          <w:rFonts w:ascii="Arial" w:hAnsi="Arial" w:cs="Arial"/>
          <w:sz w:val="22"/>
          <w:szCs w:val="22"/>
        </w:rPr>
        <w:t xml:space="preserve">Ist es gleich wahrscheinlich, ein gerades oder ungerades Produkt zu würfeln. </w:t>
      </w:r>
    </w:p>
    <w:p w:rsidR="003B0A55" w:rsidRPr="00B409C6" w:rsidRDefault="007C6B24" w:rsidP="00B409C6">
      <w:pPr>
        <w:spacing w:after="120"/>
        <w:rPr>
          <w:rFonts w:ascii="Arial" w:hAnsi="Arial" w:cs="Arial"/>
          <w:sz w:val="22"/>
          <w:szCs w:val="22"/>
        </w:rPr>
      </w:pPr>
      <w:r w:rsidRPr="007C6B24">
        <w:rPr>
          <w:rFonts w:ascii="Arial" w:hAnsi="Arial" w:cs="Arial"/>
          <w:sz w:val="22"/>
          <w:szCs w:val="22"/>
        </w:rPr>
        <w:t xml:space="preserve">Die Fragestellungen können auch auf die Addition übertragen werden. </w:t>
      </w:r>
      <w:bookmarkStart w:id="0" w:name="_GoBack"/>
      <w:bookmarkEnd w:id="0"/>
    </w:p>
    <w:sectPr w:rsidR="003B0A55" w:rsidRPr="00B409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C36" w:rsidRDefault="00466C36" w:rsidP="00466C36">
      <w:r>
        <w:separator/>
      </w:r>
    </w:p>
  </w:endnote>
  <w:endnote w:type="continuationSeparator" w:id="0">
    <w:p w:rsidR="00466C36" w:rsidRDefault="00466C36" w:rsidP="0046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C36" w:rsidRDefault="00466C3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C36" w:rsidRDefault="00466C3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C36" w:rsidRDefault="00466C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C36" w:rsidRDefault="00466C36" w:rsidP="00466C36">
      <w:r>
        <w:separator/>
      </w:r>
    </w:p>
  </w:footnote>
  <w:footnote w:type="continuationSeparator" w:id="0">
    <w:p w:rsidR="00466C36" w:rsidRDefault="00466C36" w:rsidP="0046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C36" w:rsidRDefault="00466C3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C36" w:rsidRDefault="00466C36">
    <w:pPr>
      <w:pStyle w:val="Kopfzeile"/>
    </w:pPr>
    <w:r>
      <w:rPr>
        <w:noProof/>
      </w:rPr>
      <w:drawing>
        <wp:inline distT="0" distB="0" distL="0" distR="0" wp14:anchorId="0D228F91" wp14:editId="1AC2C2A2">
          <wp:extent cx="4105275" cy="269875"/>
          <wp:effectExtent l="0" t="0" r="9525" b="0"/>
          <wp:docPr id="4" name="Grafik 4" descr="Beschreibung: Kop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Kopf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C36" w:rsidRDefault="00466C3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062AB2"/>
    <w:multiLevelType w:val="hybridMultilevel"/>
    <w:tmpl w:val="5D82E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A1C8B"/>
    <w:rsid w:val="003A496B"/>
    <w:rsid w:val="003B0A55"/>
    <w:rsid w:val="003C7D61"/>
    <w:rsid w:val="003D7948"/>
    <w:rsid w:val="00466C36"/>
    <w:rsid w:val="004D1DCE"/>
    <w:rsid w:val="004F70C4"/>
    <w:rsid w:val="00566351"/>
    <w:rsid w:val="0061709D"/>
    <w:rsid w:val="00666933"/>
    <w:rsid w:val="00692E69"/>
    <w:rsid w:val="006C29B7"/>
    <w:rsid w:val="00753D68"/>
    <w:rsid w:val="00756CB3"/>
    <w:rsid w:val="007C6B24"/>
    <w:rsid w:val="007C729F"/>
    <w:rsid w:val="007D4262"/>
    <w:rsid w:val="00806273"/>
    <w:rsid w:val="008336E4"/>
    <w:rsid w:val="00837274"/>
    <w:rsid w:val="00861043"/>
    <w:rsid w:val="00871097"/>
    <w:rsid w:val="0088770C"/>
    <w:rsid w:val="009C47FB"/>
    <w:rsid w:val="009D5014"/>
    <w:rsid w:val="009E4A36"/>
    <w:rsid w:val="00A13FB9"/>
    <w:rsid w:val="00A25A42"/>
    <w:rsid w:val="00A35D30"/>
    <w:rsid w:val="00A47EC4"/>
    <w:rsid w:val="00A95DDE"/>
    <w:rsid w:val="00AB17D0"/>
    <w:rsid w:val="00B409C6"/>
    <w:rsid w:val="00B8136A"/>
    <w:rsid w:val="00C2385F"/>
    <w:rsid w:val="00C7686A"/>
    <w:rsid w:val="00CF32DF"/>
    <w:rsid w:val="00D44C7A"/>
    <w:rsid w:val="00D462AA"/>
    <w:rsid w:val="00EC46E1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B3CBC6"/>
  <w15:docId w15:val="{29747138-2649-468F-853A-D46E90C7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466C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66C36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466C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66C36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7C6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Caroline Siri Baumbach</cp:lastModifiedBy>
  <cp:revision>9</cp:revision>
  <cp:lastPrinted>2007-01-11T14:25:00Z</cp:lastPrinted>
  <dcterms:created xsi:type="dcterms:W3CDTF">2020-12-23T09:34:00Z</dcterms:created>
  <dcterms:modified xsi:type="dcterms:W3CDTF">2021-03-22T09:08:00Z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